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>Work Opportunity Tax Credit (WOTC)</w:t>
      </w:r>
    </w:p>
    <w:p w:rsidR="00EF062E" w:rsidRPr="00EF062E" w:rsidRDefault="003F1030" w:rsidP="0072056A">
      <w:pPr>
        <w:rPr>
          <w:rFonts w:ascii="Verdana" w:eastAsia="Eras Light ITC" w:hAnsi="Verdana" w:cstheme="minorHAnsi"/>
        </w:rPr>
      </w:pPr>
      <w:r w:rsidRPr="005D50E9">
        <w:rPr>
          <w:rFonts w:ascii="Verdana" w:eastAsia="Times New Roman" w:hAnsi="Verdana" w:cstheme="minorHAnsi"/>
          <w:b/>
        </w:rPr>
        <w:t xml:space="preserve">Target group: </w:t>
      </w:r>
      <w:r w:rsidR="0072056A">
        <w:rPr>
          <w:rFonts w:ascii="Verdana" w:eastAsia="Times New Roman" w:hAnsi="Verdana" w:cstheme="minorHAnsi"/>
          <w:b/>
        </w:rPr>
        <w:t xml:space="preserve">Qualified </w:t>
      </w:r>
      <w:r w:rsidR="0072056A" w:rsidRPr="0072056A">
        <w:rPr>
          <w:rFonts w:ascii="Verdana" w:eastAsia="Times New Roman" w:hAnsi="Verdana" w:cstheme="minorHAnsi"/>
          <w:b/>
        </w:rPr>
        <w:t>Designated Community Resident</w:t>
      </w:r>
    </w:p>
    <w:p w:rsidR="009D7502" w:rsidRDefault="009D7502" w:rsidP="00266AF6">
      <w:pPr>
        <w:rPr>
          <w:rFonts w:ascii="Verdana" w:eastAsia="Eras Light ITC" w:hAnsi="Verdana" w:cstheme="minorHAnsi"/>
        </w:rPr>
      </w:pPr>
    </w:p>
    <w:p w:rsidR="0072056A" w:rsidRPr="0072056A" w:rsidRDefault="0072056A" w:rsidP="0072056A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 xml:space="preserve">A 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>Designated Community Resident</w:t>
      </w:r>
      <w:r>
        <w:rPr>
          <w:rFonts w:ascii="Verdana" w:hAnsi="Verdana" w:cs="Arial"/>
          <w:b/>
          <w:color w:val="211D1E"/>
          <w:sz w:val="23"/>
          <w:szCs w:val="23"/>
        </w:rPr>
        <w:t xml:space="preserve">, 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 xml:space="preserve">Target Group D 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is an 18-39 year old who resides in a federally designated </w:t>
      </w:r>
      <w:r w:rsidR="00A31CA0" w:rsidRPr="0072056A">
        <w:rPr>
          <w:rFonts w:ascii="Verdana" w:hAnsi="Verdana" w:cs="Arial"/>
          <w:color w:val="211D1E"/>
          <w:sz w:val="23"/>
          <w:szCs w:val="23"/>
        </w:rPr>
        <w:t xml:space="preserve">rural renewal county </w:t>
      </w:r>
      <w:r w:rsidRPr="0072056A">
        <w:rPr>
          <w:rFonts w:ascii="Verdana" w:hAnsi="Verdana" w:cs="Arial"/>
          <w:color w:val="211D1E"/>
          <w:sz w:val="23"/>
          <w:szCs w:val="23"/>
        </w:rPr>
        <w:t>of: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 xml:space="preserve">                                               </w:t>
      </w:r>
    </w:p>
    <w:p w:rsidR="0072056A" w:rsidRPr="0072056A" w:rsidRDefault="0072056A" w:rsidP="0072056A">
      <w:pPr>
        <w:pStyle w:val="BodyText"/>
        <w:numPr>
          <w:ilvl w:val="0"/>
          <w:numId w:val="13"/>
        </w:numPr>
        <w:spacing w:line="264" w:lineRule="auto"/>
        <w:ind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For Kentucky</w:t>
      </w:r>
      <w:r w:rsidR="00A31CA0">
        <w:rPr>
          <w:rFonts w:ascii="Verdana" w:hAnsi="Verdana" w:cs="Arial"/>
          <w:b/>
          <w:bCs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-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Bell, Caldwell, Floyd, Harlan,</w:t>
      </w:r>
      <w:r w:rsidR="00A31CA0">
        <w:rPr>
          <w:rFonts w:ascii="Verdana" w:hAnsi="Verdana" w:cs="Arial"/>
          <w:color w:val="211D1E"/>
          <w:sz w:val="23"/>
          <w:szCs w:val="23"/>
        </w:rPr>
        <w:t xml:space="preserve"> Hickman, Leslie, Letcher, Pike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or Union</w:t>
      </w:r>
    </w:p>
    <w:p w:rsidR="0072056A" w:rsidRPr="0072056A" w:rsidRDefault="0072056A" w:rsidP="0072056A">
      <w:pPr>
        <w:pStyle w:val="BodyText"/>
        <w:numPr>
          <w:ilvl w:val="0"/>
          <w:numId w:val="13"/>
        </w:numPr>
        <w:spacing w:line="264" w:lineRule="auto"/>
        <w:ind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For Ohio</w:t>
      </w:r>
      <w:r w:rsidR="00A31CA0">
        <w:rPr>
          <w:rFonts w:ascii="Verdana" w:hAnsi="Verdana" w:cs="Arial"/>
          <w:b/>
          <w:bCs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-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Cra</w:t>
      </w:r>
      <w:r w:rsidR="00A31CA0">
        <w:rPr>
          <w:rFonts w:ascii="Verdana" w:hAnsi="Verdana" w:cs="Arial"/>
          <w:color w:val="211D1E"/>
          <w:sz w:val="23"/>
          <w:szCs w:val="23"/>
        </w:rPr>
        <w:t>wford, Monroe, Paulding, Seneca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</w:t>
      </w:r>
      <w:r w:rsidR="00D06E92">
        <w:rPr>
          <w:rFonts w:ascii="Verdana" w:hAnsi="Verdana" w:cs="Arial"/>
          <w:color w:val="211D1E"/>
          <w:sz w:val="23"/>
          <w:szCs w:val="23"/>
        </w:rPr>
        <w:t>or Van Wert</w:t>
      </w:r>
    </w:p>
    <w:p w:rsidR="0072056A" w:rsidRPr="0072056A" w:rsidRDefault="0072056A" w:rsidP="0072056A">
      <w:pPr>
        <w:pStyle w:val="BodyText"/>
        <w:numPr>
          <w:ilvl w:val="0"/>
          <w:numId w:val="13"/>
        </w:numPr>
        <w:spacing w:line="264" w:lineRule="auto"/>
        <w:ind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For West Virginia</w:t>
      </w:r>
      <w:r w:rsidR="00A31CA0">
        <w:rPr>
          <w:rFonts w:ascii="Verdana" w:hAnsi="Verdana" w:cs="Arial"/>
          <w:b/>
          <w:bCs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-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Calhoun, Gilmer, Logan, McDowell, Mercer, Mingo, S</w:t>
      </w:r>
      <w:r w:rsidR="00A31CA0">
        <w:rPr>
          <w:rFonts w:ascii="Verdana" w:hAnsi="Verdana" w:cs="Arial"/>
          <w:color w:val="211D1E"/>
          <w:sz w:val="23"/>
          <w:szCs w:val="23"/>
        </w:rPr>
        <w:t>ummers, Tucker, Webster, Wetzel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or Wyoming</w:t>
      </w:r>
    </w:p>
    <w:p w:rsidR="0072056A" w:rsidRPr="0072056A" w:rsidRDefault="0072056A" w:rsidP="0072056A">
      <w:pPr>
        <w:pStyle w:val="BodyText"/>
        <w:numPr>
          <w:ilvl w:val="0"/>
          <w:numId w:val="13"/>
        </w:numPr>
        <w:spacing w:line="264" w:lineRule="auto"/>
        <w:ind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For Indiana</w:t>
      </w:r>
      <w:r w:rsidR="00A31CA0">
        <w:rPr>
          <w:rFonts w:ascii="Verdana" w:hAnsi="Verdana" w:cs="Arial"/>
          <w:b/>
          <w:bCs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 xml:space="preserve">- </w:t>
      </w:r>
      <w:r w:rsidR="00D06E92">
        <w:rPr>
          <w:rFonts w:ascii="Verdana" w:hAnsi="Verdana" w:cs="Arial"/>
          <w:color w:val="211D1E"/>
          <w:sz w:val="23"/>
          <w:szCs w:val="23"/>
        </w:rPr>
        <w:t>Perry County</w:t>
      </w:r>
    </w:p>
    <w:p w:rsidR="0072056A" w:rsidRPr="0072056A" w:rsidRDefault="0072056A" w:rsidP="0072056A">
      <w:pPr>
        <w:pStyle w:val="BodyText"/>
        <w:numPr>
          <w:ilvl w:val="0"/>
          <w:numId w:val="12"/>
        </w:numPr>
        <w:spacing w:line="264" w:lineRule="auto"/>
        <w:ind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>For Illinois</w:t>
      </w:r>
      <w:r w:rsidR="00A31CA0">
        <w:rPr>
          <w:rFonts w:ascii="Verdana" w:hAnsi="Verdana" w:cs="Arial"/>
          <w:b/>
          <w:bCs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b/>
          <w:bCs/>
          <w:color w:val="211D1E"/>
          <w:sz w:val="23"/>
          <w:szCs w:val="23"/>
        </w:rPr>
        <w:t xml:space="preserve">- 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Alexander, Edwards, Franklin, Gallatin, Greene, Hancock, Hardin, Jasper, Knox, McDonough, Montgomery, Pulaski, Randolph, </w:t>
      </w:r>
      <w:r w:rsidR="00A31CA0">
        <w:rPr>
          <w:rFonts w:ascii="Verdana" w:hAnsi="Verdana" w:cs="Arial"/>
          <w:color w:val="211D1E"/>
          <w:sz w:val="23"/>
          <w:szCs w:val="23"/>
        </w:rPr>
        <w:t>Richland, Scott, Warren, Wayne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or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White</w:t>
      </w:r>
    </w:p>
    <w:p w:rsidR="0072056A" w:rsidRDefault="0072056A" w:rsidP="0072056A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b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color w:val="211D1E"/>
          <w:sz w:val="23"/>
          <w:szCs w:val="23"/>
        </w:rPr>
        <w:t>OR</w:t>
      </w:r>
    </w:p>
    <w:p w:rsidR="00A15DFB" w:rsidRPr="0072056A" w:rsidRDefault="00A15DFB" w:rsidP="0072056A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b/>
          <w:color w:val="211D1E"/>
          <w:sz w:val="23"/>
          <w:szCs w:val="23"/>
        </w:rPr>
      </w:pPr>
    </w:p>
    <w:p w:rsidR="0072056A" w:rsidRPr="00D06E92" w:rsidRDefault="0072056A" w:rsidP="00D06E92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 xml:space="preserve">An 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 xml:space="preserve">Empowerment Zone 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is an 18-39 year old who resides in a federal Empowerment Zone </w:t>
      </w:r>
      <w:r w:rsidR="00A15DFB">
        <w:rPr>
          <w:rFonts w:ascii="Verdana" w:hAnsi="Verdana" w:cs="Arial"/>
          <w:color w:val="211D1E"/>
          <w:sz w:val="23"/>
          <w:szCs w:val="23"/>
        </w:rPr>
        <w:t>of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</w:t>
      </w:r>
      <w:r w:rsidRPr="0072056A">
        <w:rPr>
          <w:rFonts w:ascii="Verdana" w:hAnsi="Verdana" w:cs="Arial"/>
          <w:color w:val="211D1E"/>
          <w:sz w:val="23"/>
          <w:szCs w:val="23"/>
        </w:rPr>
        <w:t>Clinton</w:t>
      </w:r>
      <w:r w:rsidR="004A7BFD">
        <w:rPr>
          <w:rFonts w:ascii="Verdana" w:hAnsi="Verdana" w:cs="Arial"/>
          <w:color w:val="211D1E"/>
          <w:sz w:val="23"/>
          <w:szCs w:val="23"/>
        </w:rPr>
        <w:t>,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Jackson or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</w:t>
      </w:r>
      <w:r w:rsidR="004A7BFD">
        <w:rPr>
          <w:rFonts w:ascii="Verdana" w:hAnsi="Verdana" w:cs="Arial"/>
          <w:color w:val="211D1E"/>
          <w:sz w:val="23"/>
          <w:szCs w:val="23"/>
        </w:rPr>
        <w:t>(</w:t>
      </w:r>
      <w:r w:rsidRPr="0072056A">
        <w:rPr>
          <w:rFonts w:ascii="Verdana" w:hAnsi="Verdana" w:cs="Arial"/>
          <w:color w:val="211D1E"/>
          <w:sz w:val="23"/>
          <w:szCs w:val="23"/>
        </w:rPr>
        <w:t>parts of</w:t>
      </w:r>
      <w:r w:rsidR="004A7BFD">
        <w:rPr>
          <w:rFonts w:ascii="Verdana" w:hAnsi="Verdana" w:cs="Arial"/>
          <w:color w:val="211D1E"/>
          <w:sz w:val="23"/>
          <w:szCs w:val="23"/>
        </w:rPr>
        <w:t>)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Wayne </w:t>
      </w:r>
      <w:r w:rsidR="004A7BFD">
        <w:rPr>
          <w:rFonts w:ascii="Verdana" w:hAnsi="Verdana" w:cs="Arial"/>
          <w:color w:val="211D1E"/>
          <w:sz w:val="23"/>
          <w:szCs w:val="23"/>
        </w:rPr>
        <w:t>counties</w:t>
      </w:r>
      <w:r w:rsidR="00D06E92">
        <w:rPr>
          <w:rFonts w:ascii="Verdana" w:hAnsi="Verdana" w:cs="Arial"/>
          <w:color w:val="211D1E"/>
          <w:sz w:val="23"/>
          <w:szCs w:val="23"/>
        </w:rPr>
        <w:t xml:space="preserve"> in Kentucky.</w:t>
      </w:r>
      <w:bookmarkStart w:id="0" w:name="_GoBack"/>
      <w:bookmarkEnd w:id="0"/>
    </w:p>
    <w:p w:rsidR="0072056A" w:rsidRPr="0072056A" w:rsidRDefault="0072056A" w:rsidP="0072056A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72056A" w:rsidRPr="0072056A" w:rsidRDefault="0072056A" w:rsidP="0072056A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color w:val="211D1E"/>
          <w:sz w:val="23"/>
          <w:szCs w:val="23"/>
        </w:rPr>
        <w:t>Maximum Credit Amount $2,400</w:t>
      </w:r>
    </w:p>
    <w:p w:rsidR="0072056A" w:rsidRPr="0072056A" w:rsidRDefault="0072056A" w:rsidP="0072056A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color w:val="211D1E"/>
          <w:sz w:val="23"/>
          <w:szCs w:val="23"/>
        </w:rPr>
        <w:t>Tier 1-Worked at least 120 hour</w:t>
      </w:r>
      <w:r w:rsidR="004A7BFD">
        <w:rPr>
          <w:rFonts w:ascii="Verdana" w:hAnsi="Verdana" w:cs="Arial"/>
          <w:b/>
          <w:color w:val="211D1E"/>
          <w:sz w:val="23"/>
          <w:szCs w:val="23"/>
        </w:rPr>
        <w:t>s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>, but less than 400 hours</w:t>
      </w:r>
      <w:r w:rsidRPr="0072056A">
        <w:rPr>
          <w:rFonts w:ascii="Verdana" w:hAnsi="Verdana" w:cs="Arial"/>
          <w:b/>
          <w:color w:val="211D1E"/>
          <w:sz w:val="23"/>
          <w:szCs w:val="23"/>
        </w:rPr>
        <w:tab/>
      </w:r>
    </w:p>
    <w:p w:rsidR="0072056A" w:rsidRPr="0072056A" w:rsidRDefault="0072056A" w:rsidP="0072056A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>Up to $1,500</w:t>
      </w:r>
    </w:p>
    <w:p w:rsidR="0072056A" w:rsidRPr="0072056A" w:rsidRDefault="0072056A" w:rsidP="0072056A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>25</w:t>
      </w:r>
      <w:r w:rsidR="00A31CA0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A15DFB" w:rsidRDefault="00A15DFB" w:rsidP="0072056A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72056A" w:rsidRPr="0072056A" w:rsidRDefault="0072056A" w:rsidP="0072056A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3"/>
          <w:szCs w:val="23"/>
        </w:rPr>
      </w:pPr>
      <w:r w:rsidRPr="0072056A">
        <w:rPr>
          <w:rFonts w:ascii="Verdana" w:hAnsi="Verdana" w:cs="Arial"/>
          <w:b/>
          <w:color w:val="211D1E"/>
          <w:sz w:val="23"/>
          <w:szCs w:val="23"/>
        </w:rPr>
        <w:t>Tier 2-Worked at least 400 hours</w:t>
      </w:r>
    </w:p>
    <w:p w:rsidR="0072056A" w:rsidRPr="0072056A" w:rsidRDefault="0072056A" w:rsidP="0072056A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>Up to $2,400</w:t>
      </w:r>
    </w:p>
    <w:p w:rsidR="0072056A" w:rsidRPr="0072056A" w:rsidRDefault="0072056A" w:rsidP="0072056A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3"/>
          <w:szCs w:val="23"/>
        </w:rPr>
      </w:pPr>
      <w:r w:rsidRPr="0072056A">
        <w:rPr>
          <w:rFonts w:ascii="Verdana" w:hAnsi="Verdana" w:cs="Arial"/>
          <w:color w:val="211D1E"/>
          <w:sz w:val="23"/>
          <w:szCs w:val="23"/>
        </w:rPr>
        <w:t>40</w:t>
      </w:r>
      <w:r w:rsidR="00A31CA0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72056A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72056A" w:rsidRPr="0039501F" w:rsidRDefault="0072056A" w:rsidP="0072056A">
      <w:pPr>
        <w:pStyle w:val="BodyText"/>
        <w:spacing w:line="264" w:lineRule="auto"/>
        <w:ind w:left="360" w:right="214"/>
        <w:rPr>
          <w:rFonts w:ascii="Arial" w:hAnsi="Arial" w:cs="Arial"/>
          <w:color w:val="211D1E"/>
          <w:sz w:val="24"/>
          <w:szCs w:val="24"/>
        </w:rPr>
      </w:pPr>
    </w:p>
    <w:p w:rsidR="0072056A" w:rsidRPr="005D50E9" w:rsidRDefault="00A15DFB" w:rsidP="00831D59">
      <w:pPr>
        <w:ind w:left="720"/>
        <w:rPr>
          <w:rFonts w:ascii="Verdana" w:eastAsia="Eras Light ITC" w:hAnsi="Verdana" w:cstheme="minorHAnsi"/>
        </w:rPr>
      </w:pPr>
      <w:r>
        <w:rPr>
          <w:rFonts w:ascii="Verdana" w:eastAsia="Eras Light ITC" w:hAnsi="Verdana" w:cstheme="minorHAnsi"/>
        </w:rPr>
        <w:t>Note:</w:t>
      </w:r>
      <w:r w:rsidRPr="00A15DFB">
        <w:t xml:space="preserve"> </w:t>
      </w:r>
      <w:r w:rsidRPr="00A15DFB">
        <w:rPr>
          <w:rFonts w:ascii="Verdana" w:eastAsia="Eras Light ITC" w:hAnsi="Verdana" w:cstheme="minorHAnsi"/>
        </w:rPr>
        <w:t>TEGL No. 25-15 provided an extension of the Empowerment Zones for a two</w:t>
      </w:r>
      <w:r w:rsidR="004A7BFD">
        <w:rPr>
          <w:rFonts w:ascii="Verdana" w:eastAsia="Eras Light ITC" w:hAnsi="Verdana" w:cstheme="minorHAnsi"/>
        </w:rPr>
        <w:t xml:space="preserve">-year period beginning on Jan. 1, 2015 and ending on Dec. 31, </w:t>
      </w:r>
      <w:r w:rsidRPr="00A15DFB">
        <w:rPr>
          <w:rFonts w:ascii="Verdana" w:eastAsia="Eras Light ITC" w:hAnsi="Verdana" w:cstheme="minorHAnsi"/>
        </w:rPr>
        <w:t xml:space="preserve">2016.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056A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C5" w:rsidRDefault="00D94AC5" w:rsidP="00957789">
      <w:r>
        <w:separator/>
      </w:r>
    </w:p>
  </w:endnote>
  <w:endnote w:type="continuationSeparator" w:id="0">
    <w:p w:rsidR="00D94AC5" w:rsidRDefault="00D94AC5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C5" w:rsidRDefault="00D94AC5" w:rsidP="00957789">
      <w:r>
        <w:separator/>
      </w:r>
    </w:p>
  </w:footnote>
  <w:footnote w:type="continuationSeparator" w:id="0">
    <w:p w:rsidR="00D94AC5" w:rsidRDefault="00D94AC5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C5E87"/>
    <w:rsid w:val="000E34EB"/>
    <w:rsid w:val="00123477"/>
    <w:rsid w:val="00145AD4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02B0D"/>
    <w:rsid w:val="00482EBA"/>
    <w:rsid w:val="004A7BFD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F4E75"/>
    <w:rsid w:val="0072056A"/>
    <w:rsid w:val="00752385"/>
    <w:rsid w:val="007E5364"/>
    <w:rsid w:val="00831D59"/>
    <w:rsid w:val="00832031"/>
    <w:rsid w:val="0086227A"/>
    <w:rsid w:val="0088587C"/>
    <w:rsid w:val="008D440A"/>
    <w:rsid w:val="0092677C"/>
    <w:rsid w:val="009520F0"/>
    <w:rsid w:val="00957789"/>
    <w:rsid w:val="009C7EF1"/>
    <w:rsid w:val="009D7502"/>
    <w:rsid w:val="009F68F0"/>
    <w:rsid w:val="00A1373B"/>
    <w:rsid w:val="00A15DFB"/>
    <w:rsid w:val="00A31CA0"/>
    <w:rsid w:val="00AA4EF4"/>
    <w:rsid w:val="00AB2926"/>
    <w:rsid w:val="00B344D5"/>
    <w:rsid w:val="00B76919"/>
    <w:rsid w:val="00BA1DE8"/>
    <w:rsid w:val="00BA2716"/>
    <w:rsid w:val="00BD6270"/>
    <w:rsid w:val="00C137B2"/>
    <w:rsid w:val="00C353EA"/>
    <w:rsid w:val="00C455C3"/>
    <w:rsid w:val="00C60222"/>
    <w:rsid w:val="00CA4835"/>
    <w:rsid w:val="00CB3962"/>
    <w:rsid w:val="00CE467B"/>
    <w:rsid w:val="00D06E92"/>
    <w:rsid w:val="00D50CEC"/>
    <w:rsid w:val="00D94AC5"/>
    <w:rsid w:val="00EA5DBF"/>
    <w:rsid w:val="00EC14A5"/>
    <w:rsid w:val="00EF062E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14346-7D5B-40B9-85B0-0D416CC34F13}"/>
</file>

<file path=customXml/itemProps2.xml><?xml version="1.0" encoding="utf-8"?>
<ds:datastoreItem xmlns:ds="http://schemas.openxmlformats.org/officeDocument/2006/customXml" ds:itemID="{584EB0E2-0095-4442-8674-5E3ED3E96FAA}"/>
</file>

<file path=customXml/itemProps3.xml><?xml version="1.0" encoding="utf-8"?>
<ds:datastoreItem xmlns:ds="http://schemas.openxmlformats.org/officeDocument/2006/customXml" ds:itemID="{07D8C681-76B8-41AE-8D09-CEC82AE76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3</cp:revision>
  <cp:lastPrinted>2016-06-21T16:17:00Z</cp:lastPrinted>
  <dcterms:created xsi:type="dcterms:W3CDTF">2016-07-05T12:20:00Z</dcterms:created>
  <dcterms:modified xsi:type="dcterms:W3CDTF">2016-07-05T12:46:00Z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